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shd w:val="clear" w:color="auto" w:fill="2C9838"/>
        <w:tblLook w:val="04A0" w:firstRow="1" w:lastRow="0" w:firstColumn="1" w:lastColumn="0" w:noHBand="0" w:noVBand="1"/>
      </w:tblPr>
      <w:tblGrid>
        <w:gridCol w:w="8556"/>
      </w:tblGrid>
      <w:tr w:rsidR="00CB6298" w:rsidRPr="004C19E2" w14:paraId="6B85B38D" w14:textId="77777777" w:rsidTr="00CB6298">
        <w:tc>
          <w:tcPr>
            <w:tcW w:w="10059" w:type="dxa"/>
            <w:shd w:val="clear" w:color="auto" w:fill="2C9838"/>
          </w:tcPr>
          <w:p w14:paraId="22BDEEFA" w14:textId="77777777" w:rsidR="00CB6298" w:rsidRPr="004C19E2" w:rsidRDefault="00CB6298" w:rsidP="00CB6298">
            <w:pPr>
              <w:spacing w:before="60"/>
              <w:jc w:val="center"/>
              <w:rPr>
                <w:rFonts w:ascii="Calibri" w:hAnsi="Calibri"/>
                <w:b/>
                <w:bCs/>
                <w:sz w:val="28"/>
                <w:szCs w:val="28"/>
              </w:rPr>
            </w:pPr>
            <w:r>
              <w:rPr>
                <w:rFonts w:ascii="Calibri" w:hAnsi="Calibri"/>
                <w:b/>
                <w:bCs/>
                <w:sz w:val="32"/>
                <w:szCs w:val="28"/>
              </w:rPr>
              <w:t xml:space="preserve">SCHOOL OF </w:t>
            </w:r>
            <w:r w:rsidRPr="004C19E2">
              <w:rPr>
                <w:rFonts w:ascii="Calibri" w:hAnsi="Calibri"/>
                <w:b/>
                <w:bCs/>
                <w:sz w:val="32"/>
                <w:szCs w:val="28"/>
              </w:rPr>
              <w:t>COMMUNICATION</w:t>
            </w:r>
            <w:r>
              <w:rPr>
                <w:rFonts w:ascii="Calibri" w:hAnsi="Calibri"/>
                <w:b/>
                <w:bCs/>
                <w:sz w:val="32"/>
                <w:szCs w:val="28"/>
              </w:rPr>
              <w:t xml:space="preserve"> AND ARTS</w:t>
            </w:r>
          </w:p>
        </w:tc>
      </w:tr>
    </w:tbl>
    <w:p w14:paraId="0346140C" w14:textId="77777777" w:rsidR="00CB6298" w:rsidRPr="004C19E2" w:rsidRDefault="00DE5A4F" w:rsidP="00CB6298">
      <w:pPr>
        <w:spacing w:before="60"/>
        <w:rPr>
          <w:rFonts w:ascii="Calibri" w:hAnsi="Calibri"/>
          <w:bCs/>
          <w:sz w:val="28"/>
          <w:szCs w:val="28"/>
        </w:rPr>
      </w:pPr>
      <w:r>
        <w:rPr>
          <w:noProof/>
          <w:lang w:eastAsia="en-AU"/>
        </w:rPr>
        <w:drawing>
          <wp:anchor distT="0" distB="0" distL="114300" distR="114300" simplePos="0" relativeHeight="251659264" behindDoc="1" locked="0" layoutInCell="1" allowOverlap="1" wp14:anchorId="43C9CF6A" wp14:editId="3026F03F">
            <wp:simplePos x="0" y="0"/>
            <wp:positionH relativeFrom="column">
              <wp:posOffset>3657600</wp:posOffset>
            </wp:positionH>
            <wp:positionV relativeFrom="page">
              <wp:posOffset>1353185</wp:posOffset>
            </wp:positionV>
            <wp:extent cx="1600200" cy="475615"/>
            <wp:effectExtent l="0" t="0" r="0" b="6985"/>
            <wp:wrapNone/>
            <wp:docPr id="1" name="Picture 2" descr="Description: uq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uq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47561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298" w:rsidRPr="004C19E2">
        <w:rPr>
          <w:rFonts w:ascii="Calibri" w:hAnsi="Calibri"/>
          <w:bCs/>
          <w:sz w:val="28"/>
          <w:szCs w:val="28"/>
        </w:rPr>
        <w:t xml:space="preserve"> </w:t>
      </w:r>
    </w:p>
    <w:p w14:paraId="4B51F696" w14:textId="5F7C4858" w:rsidR="00A85E35" w:rsidRPr="00CB6298" w:rsidRDefault="00A85E35" w:rsidP="00A85E35">
      <w:pPr>
        <w:pStyle w:val="Heading3"/>
        <w:spacing w:before="0" w:beforeAutospacing="0" w:after="0" w:afterAutospacing="0"/>
        <w:rPr>
          <w:rFonts w:asciiTheme="majorHAnsi" w:hAnsiTheme="majorHAnsi"/>
          <w:color w:val="000000"/>
          <w:sz w:val="24"/>
          <w:szCs w:val="24"/>
        </w:rPr>
      </w:pPr>
      <w:r w:rsidRPr="00CB6298">
        <w:rPr>
          <w:rFonts w:asciiTheme="majorHAnsi" w:hAnsiTheme="majorHAnsi"/>
          <w:color w:val="000000"/>
          <w:sz w:val="24"/>
          <w:szCs w:val="24"/>
        </w:rPr>
        <w:t>Chang</w:t>
      </w:r>
      <w:r w:rsidR="00D561F2">
        <w:rPr>
          <w:rFonts w:asciiTheme="majorHAnsi" w:hAnsiTheme="majorHAnsi"/>
          <w:color w:val="000000"/>
          <w:sz w:val="24"/>
          <w:szCs w:val="24"/>
        </w:rPr>
        <w:t>ing your HDR p</w:t>
      </w:r>
      <w:r w:rsidRPr="00CB6298">
        <w:rPr>
          <w:rFonts w:asciiTheme="majorHAnsi" w:hAnsiTheme="majorHAnsi"/>
          <w:color w:val="000000"/>
          <w:sz w:val="24"/>
          <w:szCs w:val="24"/>
        </w:rPr>
        <w:t>rogram</w:t>
      </w:r>
    </w:p>
    <w:p w14:paraId="53482111" w14:textId="77777777" w:rsidR="00CB6298" w:rsidRPr="00CB6298" w:rsidRDefault="00CB6298" w:rsidP="00CB6298">
      <w:pPr>
        <w:rPr>
          <w:rFonts w:ascii="Calibri" w:hAnsi="Calibri"/>
        </w:rPr>
      </w:pPr>
    </w:p>
    <w:p w14:paraId="66760C01" w14:textId="2F9BA4F4" w:rsidR="00A85E35" w:rsidRPr="00CB6298" w:rsidRDefault="00A85E35" w:rsidP="00A85E35">
      <w:pPr>
        <w:rPr>
          <w:rFonts w:ascii="Calibri" w:hAnsi="Calibri"/>
          <w:b/>
        </w:rPr>
      </w:pPr>
      <w:r>
        <w:rPr>
          <w:rFonts w:ascii="Calibri" w:hAnsi="Calibri"/>
          <w:b/>
        </w:rPr>
        <w:t>Transfer Process</w:t>
      </w:r>
    </w:p>
    <w:p w14:paraId="12EE5BB4" w14:textId="77777777" w:rsidR="001963C3" w:rsidRDefault="00F6239C" w:rsidP="006A6CE9">
      <w:pPr>
        <w:rPr>
          <w:rFonts w:asciiTheme="majorHAnsi" w:hAnsiTheme="majorHAnsi"/>
          <w:color w:val="000000"/>
        </w:rPr>
      </w:pPr>
      <w:r w:rsidRPr="00CB6298">
        <w:rPr>
          <w:rFonts w:asciiTheme="majorHAnsi" w:hAnsiTheme="majorHAnsi"/>
          <w:color w:val="000000"/>
        </w:rPr>
        <w:t>A research higher degree candidate may transfer between the MPhil and PhD programs under certain conditions</w:t>
      </w:r>
      <w:r w:rsidR="001963C3">
        <w:rPr>
          <w:rFonts w:asciiTheme="majorHAnsi" w:hAnsiTheme="majorHAnsi"/>
          <w:color w:val="000000"/>
        </w:rPr>
        <w:t>:</w:t>
      </w:r>
    </w:p>
    <w:p w14:paraId="192BD189" w14:textId="4A21D031" w:rsidR="001963C3" w:rsidRDefault="001963C3" w:rsidP="006A6CE9">
      <w:pPr>
        <w:rPr>
          <w:rFonts w:asciiTheme="majorHAnsi" w:hAnsiTheme="majorHAnsi"/>
          <w:color w:val="000000"/>
        </w:rPr>
      </w:pPr>
      <w:hyperlink r:id="rId9" w:history="1">
        <w:r w:rsidRPr="00A5210B">
          <w:rPr>
            <w:rStyle w:val="Hyperlink"/>
            <w:rFonts w:asciiTheme="majorHAnsi" w:hAnsiTheme="majorHAnsi"/>
          </w:rPr>
          <w:t>https://my.uq.edu.au/rhd-information-and-services/manage-my-candidature/changing-your-candidature</w:t>
        </w:r>
      </w:hyperlink>
    </w:p>
    <w:p w14:paraId="41123D73" w14:textId="77777777" w:rsidR="001963C3" w:rsidRDefault="001963C3" w:rsidP="006A6CE9">
      <w:pPr>
        <w:rPr>
          <w:rFonts w:asciiTheme="majorHAnsi" w:hAnsiTheme="majorHAnsi"/>
          <w:color w:val="000000"/>
        </w:rPr>
      </w:pPr>
    </w:p>
    <w:p w14:paraId="05047789" w14:textId="2D541EF3" w:rsidR="00F6239C" w:rsidRPr="00CB6298" w:rsidRDefault="001963C3" w:rsidP="006A6CE9">
      <w:pPr>
        <w:rPr>
          <w:rFonts w:asciiTheme="majorHAnsi" w:hAnsiTheme="majorHAnsi"/>
          <w:color w:val="000000"/>
        </w:rPr>
      </w:pPr>
      <w:r>
        <w:rPr>
          <w:rFonts w:asciiTheme="majorHAnsi" w:hAnsiTheme="majorHAnsi"/>
          <w:color w:val="000000"/>
        </w:rPr>
        <w:t xml:space="preserve">The Dean of the UQ Graduate School must approve the </w:t>
      </w:r>
      <w:r w:rsidR="00F6239C" w:rsidRPr="00CB6298">
        <w:rPr>
          <w:rFonts w:asciiTheme="majorHAnsi" w:hAnsiTheme="majorHAnsi"/>
          <w:color w:val="000000"/>
        </w:rPr>
        <w:t>new research program, advisory team, commencement da</w:t>
      </w:r>
      <w:r w:rsidR="006A6CE9">
        <w:rPr>
          <w:rFonts w:asciiTheme="majorHAnsi" w:hAnsiTheme="majorHAnsi"/>
          <w:color w:val="000000"/>
        </w:rPr>
        <w:t>te and thesis topic</w:t>
      </w:r>
      <w:r>
        <w:rPr>
          <w:rFonts w:asciiTheme="majorHAnsi" w:hAnsiTheme="majorHAnsi"/>
          <w:color w:val="000000"/>
        </w:rPr>
        <w:t xml:space="preserve"> before activation of </w:t>
      </w:r>
      <w:r w:rsidR="00F6239C" w:rsidRPr="00CB6298">
        <w:rPr>
          <w:rFonts w:asciiTheme="majorHAnsi" w:hAnsiTheme="majorHAnsi"/>
          <w:color w:val="000000"/>
        </w:rPr>
        <w:t>enrolment.</w:t>
      </w:r>
    </w:p>
    <w:p w14:paraId="163B0FF1" w14:textId="77777777" w:rsidR="006A6CE9" w:rsidRDefault="006A6CE9" w:rsidP="006A6CE9">
      <w:pPr>
        <w:rPr>
          <w:rFonts w:asciiTheme="majorHAnsi" w:hAnsiTheme="majorHAnsi"/>
        </w:rPr>
      </w:pPr>
    </w:p>
    <w:p w14:paraId="72DF5961" w14:textId="77777777" w:rsidR="006A6CE9" w:rsidRPr="00CB6298" w:rsidRDefault="006A6CE9" w:rsidP="006A6CE9">
      <w:pPr>
        <w:pStyle w:val="Heading3"/>
        <w:spacing w:before="0" w:beforeAutospacing="0" w:after="0" w:afterAutospacing="0"/>
        <w:rPr>
          <w:rFonts w:asciiTheme="majorHAnsi" w:hAnsiTheme="majorHAnsi"/>
          <w:color w:val="000000"/>
          <w:sz w:val="24"/>
          <w:szCs w:val="24"/>
        </w:rPr>
      </w:pPr>
      <w:r w:rsidRPr="00CB6298">
        <w:rPr>
          <w:rFonts w:asciiTheme="majorHAnsi" w:hAnsiTheme="majorHAnsi"/>
          <w:color w:val="000000"/>
          <w:sz w:val="24"/>
          <w:szCs w:val="24"/>
        </w:rPr>
        <w:t>Transfer from PhD to MPhil program</w:t>
      </w:r>
    </w:p>
    <w:p w14:paraId="7D74CD5B" w14:textId="0992BBAF" w:rsidR="006A6CE9" w:rsidRDefault="001963C3" w:rsidP="006A6CE9">
      <w:pPr>
        <w:pStyle w:val="Heading3"/>
        <w:spacing w:before="0" w:beforeAutospacing="0" w:after="0" w:afterAutospacing="0"/>
        <w:rPr>
          <w:rFonts w:asciiTheme="majorHAnsi" w:hAnsiTheme="majorHAnsi"/>
          <w:b w:val="0"/>
          <w:color w:val="000000"/>
          <w:sz w:val="24"/>
          <w:szCs w:val="24"/>
        </w:rPr>
      </w:pPr>
      <w:r w:rsidRPr="001963C3">
        <w:rPr>
          <w:rFonts w:asciiTheme="majorHAnsi" w:hAnsiTheme="majorHAnsi"/>
          <w:b w:val="0"/>
          <w:color w:val="000000"/>
          <w:sz w:val="24"/>
          <w:szCs w:val="24"/>
        </w:rPr>
        <w:t xml:space="preserve">A provisional PhD candidate may transfer to provisional MPhil </w:t>
      </w:r>
      <w:r>
        <w:rPr>
          <w:rFonts w:asciiTheme="majorHAnsi" w:hAnsiTheme="majorHAnsi"/>
          <w:b w:val="0"/>
          <w:color w:val="000000"/>
          <w:sz w:val="24"/>
          <w:szCs w:val="24"/>
        </w:rPr>
        <w:t xml:space="preserve">candidature </w:t>
      </w:r>
      <w:r w:rsidRPr="001963C3">
        <w:rPr>
          <w:rFonts w:asciiTheme="majorHAnsi" w:hAnsiTheme="majorHAnsi"/>
          <w:b w:val="0"/>
          <w:color w:val="000000"/>
          <w:sz w:val="24"/>
          <w:szCs w:val="24"/>
        </w:rPr>
        <w:t>prior to completion of the confirmation milestone.</w:t>
      </w:r>
      <w:r>
        <w:rPr>
          <w:rFonts w:asciiTheme="majorHAnsi" w:hAnsiTheme="majorHAnsi"/>
          <w:b w:val="0"/>
          <w:color w:val="000000"/>
          <w:sz w:val="24"/>
          <w:szCs w:val="24"/>
        </w:rPr>
        <w:t xml:space="preserve">  </w:t>
      </w:r>
      <w:r w:rsidR="006A6CE9" w:rsidRPr="00825CA4">
        <w:rPr>
          <w:rFonts w:asciiTheme="majorHAnsi" w:hAnsiTheme="majorHAnsi"/>
          <w:b w:val="0"/>
          <w:color w:val="000000"/>
          <w:sz w:val="24"/>
          <w:szCs w:val="24"/>
        </w:rPr>
        <w:t>A confirmed</w:t>
      </w:r>
      <w:r w:rsidR="006A6CE9">
        <w:rPr>
          <w:rFonts w:asciiTheme="majorHAnsi" w:hAnsiTheme="majorHAnsi"/>
          <w:b w:val="0"/>
          <w:color w:val="000000"/>
          <w:sz w:val="24"/>
          <w:szCs w:val="24"/>
        </w:rPr>
        <w:t xml:space="preserve"> PhD candidate </w:t>
      </w:r>
      <w:r>
        <w:rPr>
          <w:rFonts w:asciiTheme="majorHAnsi" w:hAnsiTheme="majorHAnsi"/>
          <w:b w:val="0"/>
          <w:color w:val="000000"/>
          <w:sz w:val="24"/>
          <w:szCs w:val="24"/>
        </w:rPr>
        <w:t>may</w:t>
      </w:r>
      <w:r w:rsidR="006A6CE9">
        <w:rPr>
          <w:rFonts w:asciiTheme="majorHAnsi" w:hAnsiTheme="majorHAnsi"/>
          <w:b w:val="0"/>
          <w:color w:val="000000"/>
          <w:sz w:val="24"/>
          <w:szCs w:val="24"/>
        </w:rPr>
        <w:t xml:space="preserve"> transfer to confirmed MPhil candidature</w:t>
      </w:r>
      <w:r w:rsidR="006A6CE9" w:rsidRPr="00825CA4">
        <w:rPr>
          <w:rFonts w:asciiTheme="majorHAnsi" w:hAnsiTheme="majorHAnsi"/>
          <w:b w:val="0"/>
          <w:color w:val="000000"/>
          <w:sz w:val="24"/>
          <w:szCs w:val="24"/>
        </w:rPr>
        <w:t xml:space="preserve"> at any stage.</w:t>
      </w:r>
    </w:p>
    <w:p w14:paraId="54878041" w14:textId="77777777" w:rsidR="006A6CE9" w:rsidRDefault="006A6CE9" w:rsidP="006A6CE9">
      <w:pPr>
        <w:pStyle w:val="Heading3"/>
        <w:spacing w:before="0" w:beforeAutospacing="0" w:after="0" w:afterAutospacing="0"/>
        <w:rPr>
          <w:rFonts w:asciiTheme="majorHAnsi" w:hAnsiTheme="majorHAnsi"/>
          <w:b w:val="0"/>
          <w:color w:val="000000"/>
          <w:sz w:val="24"/>
          <w:szCs w:val="24"/>
        </w:rPr>
      </w:pPr>
    </w:p>
    <w:p w14:paraId="6D5016ED" w14:textId="4F135741" w:rsidR="006A6CE9" w:rsidRPr="006A6CE9" w:rsidRDefault="006A6CE9" w:rsidP="006A6CE9">
      <w:pPr>
        <w:pStyle w:val="Heading3"/>
        <w:spacing w:before="0" w:beforeAutospacing="0" w:after="0" w:afterAutospacing="0"/>
        <w:rPr>
          <w:rFonts w:asciiTheme="majorHAnsi" w:hAnsiTheme="majorHAnsi"/>
          <w:color w:val="000000"/>
        </w:rPr>
      </w:pPr>
      <w:r w:rsidRPr="00CB6298">
        <w:rPr>
          <w:rFonts w:asciiTheme="majorHAnsi" w:hAnsiTheme="majorHAnsi"/>
          <w:color w:val="000000"/>
          <w:sz w:val="24"/>
          <w:szCs w:val="24"/>
        </w:rPr>
        <w:t>Transfer from MPhil to PhD program</w:t>
      </w:r>
    </w:p>
    <w:p w14:paraId="342DB3DD" w14:textId="739B8F12" w:rsidR="00195C39" w:rsidRDefault="007A11F8" w:rsidP="006A6CE9">
      <w:pPr>
        <w:rPr>
          <w:rFonts w:asciiTheme="majorHAnsi" w:hAnsiTheme="majorHAnsi"/>
        </w:rPr>
      </w:pPr>
      <w:r w:rsidRPr="00CB6298">
        <w:rPr>
          <w:rFonts w:asciiTheme="majorHAnsi" w:hAnsiTheme="majorHAnsi"/>
        </w:rPr>
        <w:t xml:space="preserve">In order to </w:t>
      </w:r>
      <w:r w:rsidR="00CB6298" w:rsidRPr="00CB6298">
        <w:rPr>
          <w:rFonts w:asciiTheme="majorHAnsi" w:hAnsiTheme="majorHAnsi"/>
        </w:rPr>
        <w:t xml:space="preserve">transfer from </w:t>
      </w:r>
      <w:r w:rsidR="009A59F6">
        <w:rPr>
          <w:rFonts w:asciiTheme="majorHAnsi" w:hAnsiTheme="majorHAnsi"/>
        </w:rPr>
        <w:t xml:space="preserve">the </w:t>
      </w:r>
      <w:r w:rsidR="00CB6298" w:rsidRPr="00CB6298">
        <w:rPr>
          <w:rFonts w:asciiTheme="majorHAnsi" w:hAnsiTheme="majorHAnsi"/>
        </w:rPr>
        <w:t>MPhil</w:t>
      </w:r>
      <w:r w:rsidRPr="00CB6298">
        <w:rPr>
          <w:rFonts w:asciiTheme="majorHAnsi" w:hAnsiTheme="majorHAnsi"/>
        </w:rPr>
        <w:t xml:space="preserve"> to </w:t>
      </w:r>
      <w:r w:rsidR="009A59F6">
        <w:rPr>
          <w:rFonts w:asciiTheme="majorHAnsi" w:hAnsiTheme="majorHAnsi"/>
        </w:rPr>
        <w:t>the PhD program</w:t>
      </w:r>
      <w:r w:rsidRPr="00CB6298">
        <w:rPr>
          <w:rFonts w:asciiTheme="majorHAnsi" w:hAnsiTheme="majorHAnsi"/>
        </w:rPr>
        <w:t xml:space="preserve">, </w:t>
      </w:r>
      <w:r w:rsidR="00CB6298">
        <w:rPr>
          <w:rFonts w:asciiTheme="majorHAnsi" w:hAnsiTheme="majorHAnsi"/>
        </w:rPr>
        <w:t xml:space="preserve">MPhil </w:t>
      </w:r>
      <w:r w:rsidRPr="00CB6298">
        <w:rPr>
          <w:rFonts w:asciiTheme="majorHAnsi" w:hAnsiTheme="majorHAnsi"/>
        </w:rPr>
        <w:t>candidature must fir</w:t>
      </w:r>
      <w:r w:rsidR="009A59F6">
        <w:rPr>
          <w:rFonts w:asciiTheme="majorHAnsi" w:hAnsiTheme="majorHAnsi"/>
        </w:rPr>
        <w:t>st be</w:t>
      </w:r>
      <w:r w:rsidR="00CB6298">
        <w:rPr>
          <w:rFonts w:asciiTheme="majorHAnsi" w:hAnsiTheme="majorHAnsi"/>
        </w:rPr>
        <w:t xml:space="preserve"> confirmed</w:t>
      </w:r>
      <w:r w:rsidR="002210A2" w:rsidRPr="00CB6298">
        <w:rPr>
          <w:rFonts w:asciiTheme="majorHAnsi" w:hAnsiTheme="majorHAnsi"/>
        </w:rPr>
        <w:t xml:space="preserve">. </w:t>
      </w:r>
      <w:r w:rsidR="00195C39" w:rsidRPr="00CB6298">
        <w:rPr>
          <w:rFonts w:asciiTheme="majorHAnsi" w:hAnsiTheme="majorHAnsi"/>
          <w:color w:val="000000"/>
        </w:rPr>
        <w:t>Confirmed MPhil candidates</w:t>
      </w:r>
      <w:r w:rsidR="000F235A">
        <w:rPr>
          <w:rFonts w:asciiTheme="majorHAnsi" w:hAnsiTheme="majorHAnsi"/>
          <w:color w:val="000000"/>
        </w:rPr>
        <w:t xml:space="preserve"> are permitted to </w:t>
      </w:r>
      <w:r w:rsidR="00195C39" w:rsidRPr="00CB6298">
        <w:rPr>
          <w:rFonts w:asciiTheme="majorHAnsi" w:hAnsiTheme="majorHAnsi"/>
          <w:color w:val="000000"/>
        </w:rPr>
        <w:t xml:space="preserve">transfer to the PhD program </w:t>
      </w:r>
      <w:r w:rsidR="000F235A">
        <w:rPr>
          <w:rFonts w:asciiTheme="majorHAnsi" w:hAnsiTheme="majorHAnsi"/>
          <w:color w:val="000000"/>
        </w:rPr>
        <w:t>as a provisional candidate only.  All tra</w:t>
      </w:r>
      <w:bookmarkStart w:id="0" w:name="_GoBack"/>
      <w:bookmarkEnd w:id="0"/>
      <w:r w:rsidR="000F235A">
        <w:rPr>
          <w:rFonts w:asciiTheme="majorHAnsi" w:hAnsiTheme="majorHAnsi"/>
          <w:color w:val="000000"/>
        </w:rPr>
        <w:t xml:space="preserve">nsfer requests must be submitted prior to completion of the MPhil mid-candidature review, </w:t>
      </w:r>
      <w:r w:rsidR="00195C39" w:rsidRPr="00CB6298">
        <w:rPr>
          <w:rFonts w:asciiTheme="majorHAnsi" w:hAnsiTheme="majorHAnsi"/>
          <w:color w:val="000000"/>
        </w:rPr>
        <w:t xml:space="preserve">as long </w:t>
      </w:r>
      <w:r w:rsidR="009A59F6">
        <w:rPr>
          <w:rFonts w:asciiTheme="majorHAnsi" w:hAnsiTheme="majorHAnsi"/>
          <w:color w:val="000000"/>
        </w:rPr>
        <w:t>as this decision is supported by</w:t>
      </w:r>
      <w:r w:rsidR="00195C39" w:rsidRPr="00CB6298">
        <w:rPr>
          <w:rFonts w:asciiTheme="majorHAnsi" w:hAnsiTheme="majorHAnsi"/>
          <w:color w:val="000000"/>
        </w:rPr>
        <w:t xml:space="preserve"> the advisory team and school</w:t>
      </w:r>
      <w:r w:rsidR="000F235A">
        <w:rPr>
          <w:rFonts w:asciiTheme="majorHAnsi" w:hAnsiTheme="majorHAnsi"/>
        </w:rPr>
        <w:t>.</w:t>
      </w:r>
    </w:p>
    <w:p w14:paraId="08B768FE" w14:textId="77777777" w:rsidR="000F235A" w:rsidRDefault="000F235A" w:rsidP="006A6CE9">
      <w:pPr>
        <w:rPr>
          <w:rFonts w:asciiTheme="majorHAnsi" w:hAnsiTheme="majorHAnsi"/>
        </w:rPr>
      </w:pPr>
    </w:p>
    <w:p w14:paraId="50A88CEC" w14:textId="62C4AE2A" w:rsidR="009A59F6" w:rsidRDefault="00752D75" w:rsidP="006A6CE9">
      <w:pPr>
        <w:rPr>
          <w:rFonts w:asciiTheme="majorHAnsi" w:hAnsiTheme="majorHAnsi"/>
        </w:rPr>
      </w:pPr>
      <w:r>
        <w:rPr>
          <w:rFonts w:asciiTheme="majorHAnsi" w:hAnsiTheme="majorHAnsi"/>
        </w:rPr>
        <w:t>In support of their application, candidates must submit the following t</w:t>
      </w:r>
      <w:r w:rsidR="00F6239C">
        <w:rPr>
          <w:rFonts w:asciiTheme="majorHAnsi" w:hAnsiTheme="majorHAnsi"/>
        </w:rPr>
        <w:t>ransfer</w:t>
      </w:r>
      <w:r w:rsidR="00F6239C" w:rsidRPr="00CB6298">
        <w:rPr>
          <w:rFonts w:asciiTheme="majorHAnsi" w:hAnsiTheme="majorHAnsi"/>
        </w:rPr>
        <w:t xml:space="preserve"> documents</w:t>
      </w:r>
      <w:r w:rsidR="009A59F6">
        <w:rPr>
          <w:rFonts w:asciiTheme="majorHAnsi" w:hAnsiTheme="majorHAnsi"/>
        </w:rPr>
        <w:t>:</w:t>
      </w:r>
      <w:r w:rsidR="00F6239C" w:rsidRPr="00CB6298">
        <w:rPr>
          <w:rFonts w:asciiTheme="majorHAnsi" w:hAnsiTheme="majorHAnsi"/>
        </w:rPr>
        <w:t xml:space="preserve"> </w:t>
      </w:r>
    </w:p>
    <w:p w14:paraId="7DBAD37A" w14:textId="5CC72FD8" w:rsidR="009A59F6" w:rsidRPr="009A59F6" w:rsidRDefault="00752D75" w:rsidP="009A59F6">
      <w:pPr>
        <w:pStyle w:val="ListParagraph"/>
        <w:numPr>
          <w:ilvl w:val="0"/>
          <w:numId w:val="5"/>
        </w:numPr>
        <w:rPr>
          <w:rFonts w:asciiTheme="majorHAnsi" w:hAnsiTheme="majorHAnsi"/>
        </w:rPr>
      </w:pPr>
      <w:r>
        <w:rPr>
          <w:rFonts w:asciiTheme="majorHAnsi" w:hAnsiTheme="majorHAnsi"/>
        </w:rPr>
        <w:t>A r</w:t>
      </w:r>
      <w:r w:rsidR="00CB6298" w:rsidRPr="009A59F6">
        <w:rPr>
          <w:rFonts w:asciiTheme="majorHAnsi" w:hAnsiTheme="majorHAnsi"/>
        </w:rPr>
        <w:t>evise</w:t>
      </w:r>
      <w:r w:rsidR="009A59F6">
        <w:rPr>
          <w:rFonts w:asciiTheme="majorHAnsi" w:hAnsiTheme="majorHAnsi"/>
        </w:rPr>
        <w:t>d</w:t>
      </w:r>
      <w:r w:rsidR="009A59F6" w:rsidRPr="009A59F6">
        <w:rPr>
          <w:rFonts w:asciiTheme="majorHAnsi" w:hAnsiTheme="majorHAnsi"/>
        </w:rPr>
        <w:t xml:space="preserve"> thesis prospectus that</w:t>
      </w:r>
      <w:r w:rsidR="00CB6298" w:rsidRPr="009A59F6">
        <w:rPr>
          <w:rFonts w:asciiTheme="majorHAnsi" w:hAnsiTheme="majorHAnsi"/>
        </w:rPr>
        <w:t xml:space="preserve"> </w:t>
      </w:r>
      <w:r w:rsidR="00C320AF">
        <w:rPr>
          <w:rFonts w:asciiTheme="majorHAnsi" w:hAnsiTheme="majorHAnsi"/>
        </w:rPr>
        <w:t>develops</w:t>
      </w:r>
      <w:r w:rsidR="007A11F8" w:rsidRPr="009A59F6">
        <w:rPr>
          <w:rFonts w:asciiTheme="majorHAnsi" w:hAnsiTheme="majorHAnsi"/>
        </w:rPr>
        <w:t xml:space="preserve"> </w:t>
      </w:r>
      <w:r w:rsidR="00241355" w:rsidRPr="009A59F6">
        <w:rPr>
          <w:rFonts w:asciiTheme="majorHAnsi" w:hAnsiTheme="majorHAnsi"/>
        </w:rPr>
        <w:t>the project outline given in the MPhil pro</w:t>
      </w:r>
      <w:r w:rsidR="009A59F6" w:rsidRPr="009A59F6">
        <w:rPr>
          <w:rFonts w:asciiTheme="majorHAnsi" w:hAnsiTheme="majorHAnsi"/>
        </w:rPr>
        <w:t>spectus</w:t>
      </w:r>
      <w:r w:rsidR="00241355" w:rsidRPr="009A59F6">
        <w:rPr>
          <w:rFonts w:asciiTheme="majorHAnsi" w:hAnsiTheme="majorHAnsi"/>
        </w:rPr>
        <w:t xml:space="preserve"> to reflect</w:t>
      </w:r>
      <w:r w:rsidR="007A11F8" w:rsidRPr="009A59F6">
        <w:rPr>
          <w:rFonts w:asciiTheme="majorHAnsi" w:hAnsiTheme="majorHAnsi"/>
        </w:rPr>
        <w:t xml:space="preserve"> the </w:t>
      </w:r>
      <w:r w:rsidR="00241355" w:rsidRPr="009A59F6">
        <w:rPr>
          <w:rFonts w:asciiTheme="majorHAnsi" w:hAnsiTheme="majorHAnsi"/>
        </w:rPr>
        <w:t xml:space="preserve">scale, </w:t>
      </w:r>
      <w:r w:rsidR="007A11F8" w:rsidRPr="009A59F6">
        <w:rPr>
          <w:rFonts w:asciiTheme="majorHAnsi" w:hAnsiTheme="majorHAnsi"/>
        </w:rPr>
        <w:t>scope</w:t>
      </w:r>
      <w:r w:rsidR="00195C39" w:rsidRPr="009A59F6">
        <w:rPr>
          <w:rFonts w:asciiTheme="majorHAnsi" w:hAnsiTheme="majorHAnsi"/>
        </w:rPr>
        <w:t>,</w:t>
      </w:r>
      <w:r w:rsidR="00241355" w:rsidRPr="009A59F6">
        <w:rPr>
          <w:rFonts w:asciiTheme="majorHAnsi" w:hAnsiTheme="majorHAnsi"/>
        </w:rPr>
        <w:t xml:space="preserve"> and depth required of a PhD project. </w:t>
      </w:r>
    </w:p>
    <w:p w14:paraId="04EEFB1A" w14:textId="7F9F90AE" w:rsidR="009A59F6" w:rsidRPr="009A59F6" w:rsidRDefault="00752D75" w:rsidP="009A59F6">
      <w:pPr>
        <w:pStyle w:val="ListParagraph"/>
        <w:numPr>
          <w:ilvl w:val="0"/>
          <w:numId w:val="5"/>
        </w:numPr>
        <w:rPr>
          <w:rFonts w:asciiTheme="majorHAnsi" w:hAnsiTheme="majorHAnsi"/>
        </w:rPr>
      </w:pPr>
      <w:r>
        <w:rPr>
          <w:rFonts w:asciiTheme="majorHAnsi" w:hAnsiTheme="majorHAnsi"/>
        </w:rPr>
        <w:t>A s</w:t>
      </w:r>
      <w:r w:rsidR="00F6239C" w:rsidRPr="009A59F6">
        <w:rPr>
          <w:rFonts w:asciiTheme="majorHAnsi" w:hAnsiTheme="majorHAnsi"/>
        </w:rPr>
        <w:t xml:space="preserve">ample </w:t>
      </w:r>
      <w:r w:rsidR="00CB6298" w:rsidRPr="009A59F6">
        <w:rPr>
          <w:rFonts w:asciiTheme="majorHAnsi" w:hAnsiTheme="majorHAnsi"/>
        </w:rPr>
        <w:t>thesis chapter</w:t>
      </w:r>
      <w:r w:rsidR="007A11F8" w:rsidRPr="009A59F6">
        <w:rPr>
          <w:rFonts w:asciiTheme="majorHAnsi" w:hAnsiTheme="majorHAnsi"/>
        </w:rPr>
        <w:t xml:space="preserve">. </w:t>
      </w:r>
    </w:p>
    <w:p w14:paraId="7943CB37" w14:textId="77777777" w:rsidR="009A59F6" w:rsidRDefault="009A59F6" w:rsidP="006A6CE9">
      <w:pPr>
        <w:rPr>
          <w:rFonts w:asciiTheme="majorHAnsi" w:hAnsiTheme="majorHAnsi"/>
        </w:rPr>
      </w:pPr>
    </w:p>
    <w:p w14:paraId="3A8A58A0" w14:textId="68AC59A2" w:rsidR="00516B6B" w:rsidRPr="00752D75" w:rsidRDefault="007A11F8" w:rsidP="00516B6B">
      <w:pPr>
        <w:rPr>
          <w:rFonts w:asciiTheme="majorHAnsi" w:hAnsiTheme="majorHAnsi"/>
          <w:color w:val="000000"/>
        </w:rPr>
      </w:pPr>
      <w:r w:rsidRPr="00CB6298">
        <w:rPr>
          <w:rFonts w:asciiTheme="majorHAnsi" w:hAnsiTheme="majorHAnsi"/>
        </w:rPr>
        <w:t xml:space="preserve">After incorporating feedback from the </w:t>
      </w:r>
      <w:r w:rsidR="000F235A">
        <w:rPr>
          <w:rFonts w:asciiTheme="majorHAnsi" w:hAnsiTheme="majorHAnsi"/>
        </w:rPr>
        <w:t>advisory team</w:t>
      </w:r>
      <w:r w:rsidRPr="00CB6298">
        <w:rPr>
          <w:rFonts w:asciiTheme="majorHAnsi" w:hAnsiTheme="majorHAnsi"/>
        </w:rPr>
        <w:t xml:space="preserve">, these documents are </w:t>
      </w:r>
      <w:r w:rsidR="00195C39">
        <w:rPr>
          <w:rFonts w:asciiTheme="majorHAnsi" w:hAnsiTheme="majorHAnsi"/>
        </w:rPr>
        <w:t>emailed</w:t>
      </w:r>
      <w:r w:rsidRPr="00CB6298">
        <w:rPr>
          <w:rFonts w:asciiTheme="majorHAnsi" w:hAnsiTheme="majorHAnsi"/>
        </w:rPr>
        <w:t xml:space="preserve"> to </w:t>
      </w:r>
      <w:r w:rsidR="00CB6298">
        <w:rPr>
          <w:rFonts w:asciiTheme="majorHAnsi" w:hAnsiTheme="majorHAnsi"/>
        </w:rPr>
        <w:t xml:space="preserve">the </w:t>
      </w:r>
      <w:r w:rsidR="0009309F">
        <w:rPr>
          <w:rFonts w:asciiTheme="majorHAnsi" w:hAnsiTheme="majorHAnsi"/>
        </w:rPr>
        <w:t>HDR</w:t>
      </w:r>
      <w:r w:rsidR="00CB6298">
        <w:rPr>
          <w:rFonts w:asciiTheme="majorHAnsi" w:hAnsiTheme="majorHAnsi"/>
        </w:rPr>
        <w:t xml:space="preserve"> administrator </w:t>
      </w:r>
      <w:r w:rsidR="00CB6298" w:rsidRPr="00CB6298">
        <w:rPr>
          <w:rFonts w:ascii="Calibri" w:hAnsi="Calibri"/>
        </w:rPr>
        <w:t>&lt;rhdcommarts@uq.edu.au&gt;</w:t>
      </w:r>
      <w:r w:rsidRPr="00CB6298">
        <w:rPr>
          <w:rFonts w:asciiTheme="majorHAnsi" w:hAnsiTheme="majorHAnsi"/>
        </w:rPr>
        <w:t xml:space="preserve"> for review by </w:t>
      </w:r>
      <w:r w:rsidR="00F6239C">
        <w:rPr>
          <w:rFonts w:asciiTheme="majorHAnsi" w:hAnsiTheme="majorHAnsi"/>
        </w:rPr>
        <w:t xml:space="preserve">two </w:t>
      </w:r>
      <w:r w:rsidRPr="00CB6298">
        <w:rPr>
          <w:rFonts w:asciiTheme="majorHAnsi" w:hAnsiTheme="majorHAnsi"/>
        </w:rPr>
        <w:t>expert readers</w:t>
      </w:r>
      <w:r w:rsidR="00195C39">
        <w:rPr>
          <w:rFonts w:asciiTheme="majorHAnsi" w:hAnsiTheme="majorHAnsi"/>
        </w:rPr>
        <w:t xml:space="preserve"> </w:t>
      </w:r>
      <w:r w:rsidR="0013753E">
        <w:rPr>
          <w:rFonts w:asciiTheme="majorHAnsi" w:hAnsiTheme="majorHAnsi"/>
        </w:rPr>
        <w:t xml:space="preserve">who are asked to provide written reports </w:t>
      </w:r>
      <w:r w:rsidR="00195C39">
        <w:rPr>
          <w:rFonts w:asciiTheme="majorHAnsi" w:hAnsiTheme="majorHAnsi"/>
        </w:rPr>
        <w:t>within two weeks</w:t>
      </w:r>
      <w:r w:rsidRPr="00CB6298">
        <w:rPr>
          <w:rFonts w:asciiTheme="majorHAnsi" w:hAnsiTheme="majorHAnsi"/>
        </w:rPr>
        <w:t xml:space="preserve">. </w:t>
      </w:r>
      <w:r w:rsidR="00D561F2">
        <w:rPr>
          <w:rFonts w:asciiTheme="majorHAnsi" w:hAnsiTheme="majorHAnsi"/>
        </w:rPr>
        <w:t xml:space="preserve"> </w:t>
      </w:r>
      <w:r w:rsidRPr="00CB6298">
        <w:rPr>
          <w:rFonts w:asciiTheme="majorHAnsi" w:hAnsiTheme="majorHAnsi"/>
        </w:rPr>
        <w:t xml:space="preserve">When the readers’ reports are received, the </w:t>
      </w:r>
      <w:r w:rsidR="00D561F2">
        <w:rPr>
          <w:rFonts w:asciiTheme="majorHAnsi" w:hAnsiTheme="majorHAnsi"/>
        </w:rPr>
        <w:t>School HDR</w:t>
      </w:r>
      <w:r w:rsidR="0013753E">
        <w:rPr>
          <w:rFonts w:asciiTheme="majorHAnsi" w:hAnsiTheme="majorHAnsi"/>
        </w:rPr>
        <w:t xml:space="preserve"> committee meets</w:t>
      </w:r>
      <w:r w:rsidR="00CB6298">
        <w:rPr>
          <w:rFonts w:asciiTheme="majorHAnsi" w:hAnsiTheme="majorHAnsi"/>
        </w:rPr>
        <w:t xml:space="preserve"> and</w:t>
      </w:r>
      <w:r w:rsidRPr="00CB6298">
        <w:rPr>
          <w:rFonts w:asciiTheme="majorHAnsi" w:hAnsiTheme="majorHAnsi"/>
        </w:rPr>
        <w:t xml:space="preserve"> </w:t>
      </w:r>
      <w:r w:rsidR="00516B6B">
        <w:rPr>
          <w:rFonts w:asciiTheme="majorHAnsi" w:hAnsiTheme="majorHAnsi"/>
        </w:rPr>
        <w:t>makes one of t</w:t>
      </w:r>
      <w:r w:rsidR="000F235A">
        <w:rPr>
          <w:rFonts w:asciiTheme="majorHAnsi" w:hAnsiTheme="majorHAnsi"/>
        </w:rPr>
        <w:t>wo</w:t>
      </w:r>
      <w:r w:rsidR="00516B6B">
        <w:rPr>
          <w:rFonts w:asciiTheme="majorHAnsi" w:hAnsiTheme="majorHAnsi"/>
        </w:rPr>
        <w:t xml:space="preserve"> possible recommendations to the Graduate School regarding the</w:t>
      </w:r>
      <w:r w:rsidR="00B3632A">
        <w:rPr>
          <w:rFonts w:asciiTheme="majorHAnsi" w:hAnsiTheme="majorHAnsi"/>
          <w:color w:val="000000"/>
        </w:rPr>
        <w:t xml:space="preserve"> outcome</w:t>
      </w:r>
      <w:r w:rsidR="00516B6B">
        <w:rPr>
          <w:rFonts w:asciiTheme="majorHAnsi" w:hAnsiTheme="majorHAnsi"/>
          <w:color w:val="000000"/>
        </w:rPr>
        <w:t xml:space="preserve"> of the transfer process:</w:t>
      </w:r>
    </w:p>
    <w:p w14:paraId="00C58C8F" w14:textId="6221F3DE" w:rsidR="00CC09AC" w:rsidRPr="00752D75" w:rsidRDefault="00CC09AC" w:rsidP="00752D75">
      <w:pPr>
        <w:pStyle w:val="ListParagraph"/>
        <w:numPr>
          <w:ilvl w:val="0"/>
          <w:numId w:val="12"/>
        </w:numPr>
        <w:rPr>
          <w:rFonts w:asciiTheme="majorHAnsi" w:hAnsiTheme="majorHAnsi"/>
          <w:i/>
          <w:color w:val="000000"/>
        </w:rPr>
      </w:pPr>
      <w:r w:rsidRPr="00752D75">
        <w:rPr>
          <w:rFonts w:asciiTheme="majorHAnsi" w:hAnsiTheme="majorHAnsi"/>
          <w:bCs/>
          <w:i/>
          <w:color w:val="000000"/>
        </w:rPr>
        <w:t>The school recommends that the candidate remain enrolled in the MPhil program</w:t>
      </w:r>
      <w:r w:rsidR="00C320AF" w:rsidRPr="00752D75">
        <w:rPr>
          <w:rFonts w:asciiTheme="majorHAnsi" w:hAnsiTheme="majorHAnsi"/>
          <w:bCs/>
          <w:i/>
          <w:color w:val="000000"/>
        </w:rPr>
        <w:t xml:space="preserve">, </w:t>
      </w:r>
      <w:r w:rsidR="00C320AF" w:rsidRPr="00752D75">
        <w:rPr>
          <w:rFonts w:asciiTheme="majorHAnsi" w:hAnsiTheme="majorHAnsi"/>
          <w:i/>
        </w:rPr>
        <w:t>following the research plan in the original MPhil prospectus</w:t>
      </w:r>
      <w:r w:rsidRPr="00752D75">
        <w:rPr>
          <w:rFonts w:asciiTheme="majorHAnsi" w:hAnsiTheme="majorHAnsi"/>
          <w:bCs/>
          <w:i/>
          <w:color w:val="000000"/>
        </w:rPr>
        <w:t xml:space="preserve">. </w:t>
      </w:r>
    </w:p>
    <w:p w14:paraId="168DDED8" w14:textId="77777777" w:rsidR="00752D75" w:rsidRDefault="00CC09AC" w:rsidP="00752D75">
      <w:pPr>
        <w:ind w:left="720"/>
        <w:rPr>
          <w:rFonts w:asciiTheme="majorHAnsi" w:hAnsiTheme="majorHAnsi"/>
          <w:color w:val="000000"/>
        </w:rPr>
      </w:pPr>
      <w:r w:rsidRPr="00CB6298">
        <w:rPr>
          <w:rFonts w:asciiTheme="majorHAnsi" w:hAnsiTheme="majorHAnsi"/>
          <w:color w:val="000000"/>
        </w:rPr>
        <w:t xml:space="preserve">The written feedback to the candidate and advisory team must explain why transfer to the PhD program is inappropriate or unfeasible at this time. Possible reasons include: the candidate does not yet have the academic skills needed to undertake </w:t>
      </w:r>
      <w:r w:rsidR="00C320AF">
        <w:rPr>
          <w:rFonts w:asciiTheme="majorHAnsi" w:hAnsiTheme="majorHAnsi"/>
          <w:color w:val="000000"/>
        </w:rPr>
        <w:t>this PhD project; the candidate’</w:t>
      </w:r>
      <w:r w:rsidRPr="00CB6298">
        <w:rPr>
          <w:rFonts w:asciiTheme="majorHAnsi" w:hAnsiTheme="majorHAnsi"/>
          <w:color w:val="000000"/>
        </w:rPr>
        <w:t>s MPhil project cannot be extended to meet the scope</w:t>
      </w:r>
      <w:r w:rsidR="00C320AF">
        <w:rPr>
          <w:rFonts w:asciiTheme="majorHAnsi" w:hAnsiTheme="majorHAnsi"/>
          <w:color w:val="000000"/>
        </w:rPr>
        <w:t xml:space="preserve"> and depth</w:t>
      </w:r>
      <w:r w:rsidRPr="00CB6298">
        <w:rPr>
          <w:rFonts w:asciiTheme="majorHAnsi" w:hAnsiTheme="majorHAnsi"/>
          <w:color w:val="000000"/>
        </w:rPr>
        <w:t xml:space="preserve"> required for a PhD project; the </w:t>
      </w:r>
      <w:r w:rsidRPr="00CB6298">
        <w:rPr>
          <w:rFonts w:asciiTheme="majorHAnsi" w:hAnsiTheme="majorHAnsi"/>
          <w:color w:val="000000"/>
        </w:rPr>
        <w:lastRenderedPageBreak/>
        <w:t>school cannot provide the necessary resources (such as advisors, funding, or facilities) to support the proposed PhD project.</w:t>
      </w:r>
    </w:p>
    <w:p w14:paraId="798E3867" w14:textId="77777777" w:rsidR="000F235A" w:rsidRDefault="00CC09AC" w:rsidP="00752D75">
      <w:pPr>
        <w:pStyle w:val="ListParagraph"/>
        <w:numPr>
          <w:ilvl w:val="0"/>
          <w:numId w:val="12"/>
        </w:numPr>
        <w:rPr>
          <w:rFonts w:asciiTheme="majorHAnsi" w:hAnsiTheme="majorHAnsi"/>
          <w:bCs/>
          <w:i/>
          <w:color w:val="000000"/>
        </w:rPr>
      </w:pPr>
      <w:r w:rsidRPr="00752D75">
        <w:rPr>
          <w:rFonts w:asciiTheme="majorHAnsi" w:hAnsiTheme="majorHAnsi"/>
          <w:bCs/>
          <w:i/>
          <w:color w:val="000000"/>
        </w:rPr>
        <w:t xml:space="preserve">The school recommends admission to the PhD program as a provisional </w:t>
      </w:r>
      <w:r w:rsidR="000F235A">
        <w:rPr>
          <w:rFonts w:asciiTheme="majorHAnsi" w:hAnsiTheme="majorHAnsi"/>
          <w:bCs/>
          <w:i/>
          <w:color w:val="000000"/>
        </w:rPr>
        <w:t xml:space="preserve">PhD </w:t>
      </w:r>
      <w:r w:rsidRPr="00752D75">
        <w:rPr>
          <w:rFonts w:asciiTheme="majorHAnsi" w:hAnsiTheme="majorHAnsi"/>
          <w:bCs/>
          <w:i/>
          <w:color w:val="000000"/>
        </w:rPr>
        <w:t>candidate</w:t>
      </w:r>
      <w:r w:rsidR="000F235A">
        <w:rPr>
          <w:rFonts w:asciiTheme="majorHAnsi" w:hAnsiTheme="majorHAnsi"/>
          <w:bCs/>
          <w:i/>
          <w:color w:val="000000"/>
        </w:rPr>
        <w:t>.</w:t>
      </w:r>
    </w:p>
    <w:p w14:paraId="1BB354AB" w14:textId="5D23BD14" w:rsidR="000F235A" w:rsidRDefault="000F235A" w:rsidP="00752D75">
      <w:pPr>
        <w:pStyle w:val="ListParagraph"/>
        <w:rPr>
          <w:rFonts w:asciiTheme="majorHAnsi" w:hAnsiTheme="majorHAnsi"/>
          <w:color w:val="000000"/>
        </w:rPr>
      </w:pPr>
      <w:r>
        <w:rPr>
          <w:rFonts w:asciiTheme="majorHAnsi" w:hAnsiTheme="majorHAnsi"/>
          <w:color w:val="000000"/>
        </w:rPr>
        <w:t>If the transfer application is successful and provisional PhD candidature is recommended, the School HDR committee must set written and oral goals for the candidate’s confirmation milestone.</w:t>
      </w:r>
    </w:p>
    <w:p w14:paraId="1C1B31A3" w14:textId="77777777" w:rsidR="00516B6B" w:rsidRDefault="00516B6B" w:rsidP="00AE433F">
      <w:pPr>
        <w:spacing w:after="120"/>
        <w:rPr>
          <w:rFonts w:asciiTheme="majorHAnsi" w:hAnsiTheme="majorHAnsi"/>
          <w:b/>
          <w:color w:val="000000"/>
        </w:rPr>
      </w:pPr>
    </w:p>
    <w:p w14:paraId="563F4D73" w14:textId="6956C270" w:rsidR="00AE433F" w:rsidRPr="00AE433F" w:rsidRDefault="00AE433F" w:rsidP="00AE433F">
      <w:pPr>
        <w:spacing w:after="120"/>
        <w:rPr>
          <w:rFonts w:asciiTheme="majorHAnsi" w:hAnsiTheme="majorHAnsi"/>
          <w:b/>
          <w:color w:val="000000"/>
        </w:rPr>
      </w:pPr>
      <w:r w:rsidRPr="00AE433F">
        <w:rPr>
          <w:rFonts w:asciiTheme="majorHAnsi" w:hAnsiTheme="majorHAnsi"/>
          <w:b/>
          <w:color w:val="000000"/>
        </w:rPr>
        <w:t xml:space="preserve">Change of </w:t>
      </w:r>
      <w:r w:rsidR="00D561F2">
        <w:rPr>
          <w:rFonts w:asciiTheme="majorHAnsi" w:hAnsiTheme="majorHAnsi"/>
          <w:b/>
          <w:color w:val="000000"/>
        </w:rPr>
        <w:t>HDR p</w:t>
      </w:r>
      <w:r w:rsidRPr="00AE433F">
        <w:rPr>
          <w:rFonts w:asciiTheme="majorHAnsi" w:hAnsiTheme="majorHAnsi"/>
          <w:b/>
          <w:color w:val="000000"/>
        </w:rPr>
        <w:t xml:space="preserve">rogram while holding a scholarship </w:t>
      </w:r>
    </w:p>
    <w:p w14:paraId="558B0CAB" w14:textId="77777777" w:rsidR="00AE433F" w:rsidRPr="00AE433F" w:rsidRDefault="00AE433F" w:rsidP="00AE433F">
      <w:pPr>
        <w:spacing w:after="120"/>
        <w:rPr>
          <w:rFonts w:asciiTheme="majorHAnsi" w:hAnsiTheme="majorHAnsi"/>
          <w:color w:val="000000"/>
        </w:rPr>
      </w:pPr>
      <w:r w:rsidRPr="00AE433F">
        <w:rPr>
          <w:rFonts w:asciiTheme="majorHAnsi" w:hAnsiTheme="majorHAnsi"/>
          <w:color w:val="000000"/>
        </w:rPr>
        <w:t>Unless otherwise prescribed in the scholarship rules, the recipient of a scholarship may transfer between the MPhil and PhD programs while holding the scholarship.</w:t>
      </w:r>
      <w:r>
        <w:rPr>
          <w:rFonts w:asciiTheme="majorHAnsi" w:hAnsiTheme="majorHAnsi"/>
          <w:color w:val="000000"/>
        </w:rPr>
        <w:t xml:space="preserve"> </w:t>
      </w:r>
      <w:r w:rsidRPr="00AE433F">
        <w:rPr>
          <w:rFonts w:asciiTheme="majorHAnsi" w:hAnsiTheme="majorHAnsi"/>
          <w:color w:val="000000"/>
        </w:rPr>
        <w:t>The recipient’s previous period holding the scholarship counts against the maximum dura</w:t>
      </w:r>
      <w:r>
        <w:rPr>
          <w:rFonts w:asciiTheme="majorHAnsi" w:hAnsiTheme="majorHAnsi"/>
          <w:color w:val="000000"/>
        </w:rPr>
        <w:t xml:space="preserve">tion. </w:t>
      </w:r>
    </w:p>
    <w:p w14:paraId="5271D86F" w14:textId="6AB2B237" w:rsidR="00AE433F" w:rsidRPr="00AE433F" w:rsidRDefault="00AE433F" w:rsidP="00AE433F">
      <w:pPr>
        <w:spacing w:after="120"/>
        <w:rPr>
          <w:rFonts w:asciiTheme="majorHAnsi" w:hAnsiTheme="majorHAnsi"/>
          <w:color w:val="000000"/>
        </w:rPr>
      </w:pPr>
      <w:r w:rsidRPr="00AE433F">
        <w:rPr>
          <w:rFonts w:asciiTheme="majorHAnsi" w:hAnsiTheme="majorHAnsi"/>
          <w:color w:val="000000"/>
        </w:rPr>
        <w:t>If an application to transfer between programs is approved, the maximum duration of the recipient’s scholarship is reset to that of t</w:t>
      </w:r>
      <w:r>
        <w:rPr>
          <w:rFonts w:asciiTheme="majorHAnsi" w:hAnsiTheme="majorHAnsi"/>
          <w:color w:val="000000"/>
        </w:rPr>
        <w:t>he new program</w:t>
      </w:r>
      <w:r w:rsidRPr="00AE433F">
        <w:rPr>
          <w:rFonts w:asciiTheme="majorHAnsi" w:hAnsiTheme="majorHAnsi"/>
          <w:color w:val="000000"/>
        </w:rPr>
        <w:t>.</w:t>
      </w:r>
      <w:r>
        <w:rPr>
          <w:rFonts w:asciiTheme="majorHAnsi" w:hAnsiTheme="majorHAnsi"/>
          <w:color w:val="000000"/>
        </w:rPr>
        <w:t xml:space="preserve"> This means that if a full-time MPhil candidate transfers to the PhD at 1.5 years into their candidature, they may receive an additional 1.5 years of PhD scholarship funding with the possibility of applying for a further</w:t>
      </w:r>
      <w:r w:rsidR="009A59B6">
        <w:rPr>
          <w:rFonts w:asciiTheme="majorHAnsi" w:hAnsiTheme="majorHAnsi"/>
          <w:color w:val="000000"/>
        </w:rPr>
        <w:t xml:space="preserve"> two*</w:t>
      </w:r>
      <w:r>
        <w:rPr>
          <w:rFonts w:asciiTheme="majorHAnsi" w:hAnsiTheme="majorHAnsi"/>
          <w:color w:val="000000"/>
        </w:rPr>
        <w:t xml:space="preserve"> 6-month extension</w:t>
      </w:r>
      <w:r w:rsidR="009A59B6">
        <w:rPr>
          <w:rFonts w:asciiTheme="majorHAnsi" w:hAnsiTheme="majorHAnsi"/>
          <w:color w:val="000000"/>
        </w:rPr>
        <w:t>s</w:t>
      </w:r>
      <w:r>
        <w:rPr>
          <w:rFonts w:asciiTheme="majorHAnsi" w:hAnsiTheme="majorHAnsi"/>
          <w:color w:val="000000"/>
        </w:rPr>
        <w:t>. However, if the full term of an MPhil scholarship has already expired (e.g., two-year</w:t>
      </w:r>
      <w:r w:rsidR="009A59B6">
        <w:rPr>
          <w:rFonts w:asciiTheme="majorHAnsi" w:hAnsiTheme="majorHAnsi"/>
          <w:color w:val="000000"/>
        </w:rPr>
        <w:t>s</w:t>
      </w:r>
      <w:r>
        <w:rPr>
          <w:rFonts w:asciiTheme="majorHAnsi" w:hAnsiTheme="majorHAnsi"/>
          <w:color w:val="000000"/>
        </w:rPr>
        <w:t>) by the time the application to transfer to the PhD program is approved, then additional scholarship funding for the PhD will not be available. If a PhD candidate who has used two years of their scholarship transfers to the MPhil, then their scholarship will end.</w:t>
      </w:r>
    </w:p>
    <w:p w14:paraId="7488EBC5" w14:textId="0F399625" w:rsidR="00AE433F" w:rsidRPr="00CB6298" w:rsidRDefault="009A59B6" w:rsidP="00CB6298">
      <w:pPr>
        <w:spacing w:after="120"/>
        <w:rPr>
          <w:rFonts w:asciiTheme="majorHAnsi" w:hAnsiTheme="majorHAnsi"/>
          <w:color w:val="000000"/>
        </w:rPr>
      </w:pPr>
      <w:r>
        <w:rPr>
          <w:rFonts w:asciiTheme="majorHAnsi" w:hAnsiTheme="majorHAnsi"/>
          <w:color w:val="000000"/>
        </w:rPr>
        <w:t>*</w:t>
      </w:r>
      <w:r w:rsidRPr="009A59B6">
        <w:rPr>
          <w:rFonts w:asciiTheme="majorHAnsi" w:hAnsiTheme="majorHAnsi"/>
          <w:color w:val="000000"/>
        </w:rPr>
        <w:t>Applications for the career development (second) extension must demonstrate that the recipient has engaged significantly, in a sustained manner throughout candidature, in the Career Development Framework, including undertaking a placement as approved by the Dean.  Recipients must have met the requirements outlined in the Second Scholarship Extension Guidelines (Career Development), agree to undertake an oral examination, and to submit their thesis by 3.75 years FTE. The candidate’s progress must also be otherwise satisfactory.</w:t>
      </w:r>
    </w:p>
    <w:sectPr w:rsidR="00AE433F" w:rsidRPr="00CB6298">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57B8E1" w14:textId="77777777" w:rsidR="000C14A5" w:rsidRDefault="000C14A5" w:rsidP="006A6CE9">
      <w:r>
        <w:separator/>
      </w:r>
    </w:p>
  </w:endnote>
  <w:endnote w:type="continuationSeparator" w:id="0">
    <w:p w14:paraId="3BC2DA05" w14:textId="77777777" w:rsidR="000C14A5" w:rsidRDefault="000C14A5" w:rsidP="006A6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F8F20F" w14:textId="77777777" w:rsidR="00A85E35" w:rsidRDefault="00A85E35" w:rsidP="006A6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F0B80" w14:textId="77777777" w:rsidR="00A85E35" w:rsidRDefault="00A85E35" w:rsidP="006A6C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25EB7" w14:textId="77777777" w:rsidR="00A85E35" w:rsidRDefault="00A85E35" w:rsidP="006A6CE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9309F">
      <w:rPr>
        <w:rStyle w:val="PageNumber"/>
        <w:noProof/>
      </w:rPr>
      <w:t>2</w:t>
    </w:r>
    <w:r>
      <w:rPr>
        <w:rStyle w:val="PageNumber"/>
      </w:rPr>
      <w:fldChar w:fldCharType="end"/>
    </w:r>
  </w:p>
  <w:p w14:paraId="5392123C" w14:textId="77777777" w:rsidR="00A85E35" w:rsidRDefault="00A85E35" w:rsidP="006A6CE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CA4BAA" w14:textId="77777777" w:rsidR="000C14A5" w:rsidRDefault="000C14A5" w:rsidP="006A6CE9">
      <w:r>
        <w:separator/>
      </w:r>
    </w:p>
  </w:footnote>
  <w:footnote w:type="continuationSeparator" w:id="0">
    <w:p w14:paraId="68288E2B" w14:textId="77777777" w:rsidR="000C14A5" w:rsidRDefault="000C14A5" w:rsidP="006A6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680AC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7ED177B"/>
    <w:multiLevelType w:val="multilevel"/>
    <w:tmpl w:val="FAC89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CB5E68"/>
    <w:multiLevelType w:val="hybridMultilevel"/>
    <w:tmpl w:val="A3F21D44"/>
    <w:lvl w:ilvl="0" w:tplc="50F89EC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C15552A"/>
    <w:multiLevelType w:val="multilevel"/>
    <w:tmpl w:val="FAC89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5E0D38"/>
    <w:multiLevelType w:val="multilevel"/>
    <w:tmpl w:val="B6183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9E5E6B"/>
    <w:multiLevelType w:val="multilevel"/>
    <w:tmpl w:val="00F65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8D750D3"/>
    <w:multiLevelType w:val="hybridMultilevel"/>
    <w:tmpl w:val="CF9E6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855DFC"/>
    <w:multiLevelType w:val="multilevel"/>
    <w:tmpl w:val="FAC89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A6151A"/>
    <w:multiLevelType w:val="multilevel"/>
    <w:tmpl w:val="A3F21D44"/>
    <w:lvl w:ilvl="0">
      <w:start w:val="1"/>
      <w:numFmt w:val="decimal"/>
      <w:lvlText w:val="%1."/>
      <w:lvlJc w:val="left"/>
      <w:pPr>
        <w:ind w:left="360" w:hanging="360"/>
      </w:pPr>
      <w:rPr>
        <w:rFonts w:hint="default"/>
        <w:b/>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4B943EAA"/>
    <w:multiLevelType w:val="hybridMultilevel"/>
    <w:tmpl w:val="15C20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3564AA"/>
    <w:multiLevelType w:val="multilevel"/>
    <w:tmpl w:val="FAC89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61F5FA8"/>
    <w:multiLevelType w:val="multilevel"/>
    <w:tmpl w:val="FAC896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8F82259"/>
    <w:multiLevelType w:val="multilevel"/>
    <w:tmpl w:val="15C205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6"/>
  </w:num>
  <w:num w:numId="6">
    <w:abstractNumId w:val="7"/>
  </w:num>
  <w:num w:numId="7">
    <w:abstractNumId w:val="1"/>
  </w:num>
  <w:num w:numId="8">
    <w:abstractNumId w:val="10"/>
  </w:num>
  <w:num w:numId="9">
    <w:abstractNumId w:val="11"/>
  </w:num>
  <w:num w:numId="10">
    <w:abstractNumId w:val="2"/>
  </w:num>
  <w:num w:numId="11">
    <w:abstractNumId w:val="8"/>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F2C"/>
    <w:rsid w:val="00033E2E"/>
    <w:rsid w:val="00055863"/>
    <w:rsid w:val="00071C1F"/>
    <w:rsid w:val="0009309F"/>
    <w:rsid w:val="000C14A5"/>
    <w:rsid w:val="000F235A"/>
    <w:rsid w:val="0013753E"/>
    <w:rsid w:val="00195C39"/>
    <w:rsid w:val="001963C3"/>
    <w:rsid w:val="002210A2"/>
    <w:rsid w:val="00241355"/>
    <w:rsid w:val="002C1ED8"/>
    <w:rsid w:val="00347034"/>
    <w:rsid w:val="003B7607"/>
    <w:rsid w:val="00420E7A"/>
    <w:rsid w:val="00516B6B"/>
    <w:rsid w:val="00612F2C"/>
    <w:rsid w:val="006A6CE9"/>
    <w:rsid w:val="00740C68"/>
    <w:rsid w:val="00752D75"/>
    <w:rsid w:val="007A11F8"/>
    <w:rsid w:val="00825210"/>
    <w:rsid w:val="00825CA4"/>
    <w:rsid w:val="008610A9"/>
    <w:rsid w:val="009A59B6"/>
    <w:rsid w:val="009A59F6"/>
    <w:rsid w:val="009B7D12"/>
    <w:rsid w:val="00A404D2"/>
    <w:rsid w:val="00A85E35"/>
    <w:rsid w:val="00AE433F"/>
    <w:rsid w:val="00B22B3F"/>
    <w:rsid w:val="00B3632A"/>
    <w:rsid w:val="00C23A75"/>
    <w:rsid w:val="00C320AF"/>
    <w:rsid w:val="00CB6298"/>
    <w:rsid w:val="00CC09AC"/>
    <w:rsid w:val="00CC10E9"/>
    <w:rsid w:val="00CC42EA"/>
    <w:rsid w:val="00D561F2"/>
    <w:rsid w:val="00DE5A4F"/>
    <w:rsid w:val="00E243AB"/>
    <w:rsid w:val="00E81864"/>
    <w:rsid w:val="00F6239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CF2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3">
    <w:name w:val="heading 3"/>
    <w:basedOn w:val="Normal"/>
    <w:qFormat/>
    <w:rsid w:val="00CC09A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11F8"/>
    <w:rPr>
      <w:color w:val="0000FF"/>
      <w:u w:val="single"/>
    </w:rPr>
  </w:style>
  <w:style w:type="paragraph" w:styleId="DocumentMap">
    <w:name w:val="Document Map"/>
    <w:basedOn w:val="Normal"/>
    <w:semiHidden/>
    <w:rsid w:val="003B7607"/>
    <w:pPr>
      <w:shd w:val="clear" w:color="auto" w:fill="000080"/>
    </w:pPr>
    <w:rPr>
      <w:rFonts w:ascii="Tahoma" w:hAnsi="Tahoma" w:cs="Tahoma"/>
      <w:sz w:val="20"/>
      <w:szCs w:val="20"/>
    </w:rPr>
  </w:style>
  <w:style w:type="character" w:styleId="Emphasis">
    <w:name w:val="Emphasis"/>
    <w:qFormat/>
    <w:rsid w:val="00CC09AC"/>
    <w:rPr>
      <w:i/>
      <w:iCs/>
    </w:rPr>
  </w:style>
  <w:style w:type="character" w:styleId="Strong">
    <w:name w:val="Strong"/>
    <w:qFormat/>
    <w:rsid w:val="00CC09AC"/>
    <w:rPr>
      <w:b/>
      <w:bCs/>
    </w:rPr>
  </w:style>
  <w:style w:type="character" w:styleId="FollowedHyperlink">
    <w:name w:val="FollowedHyperlink"/>
    <w:rsid w:val="00740C68"/>
    <w:rPr>
      <w:color w:val="800080"/>
      <w:u w:val="single"/>
    </w:rPr>
  </w:style>
  <w:style w:type="paragraph" w:styleId="Footer">
    <w:name w:val="footer"/>
    <w:basedOn w:val="Normal"/>
    <w:link w:val="FooterChar"/>
    <w:rsid w:val="006A6CE9"/>
    <w:pPr>
      <w:tabs>
        <w:tab w:val="center" w:pos="4320"/>
        <w:tab w:val="right" w:pos="8640"/>
      </w:tabs>
    </w:pPr>
  </w:style>
  <w:style w:type="character" w:customStyle="1" w:styleId="FooterChar">
    <w:name w:val="Footer Char"/>
    <w:basedOn w:val="DefaultParagraphFont"/>
    <w:link w:val="Footer"/>
    <w:rsid w:val="006A6CE9"/>
    <w:rPr>
      <w:sz w:val="24"/>
      <w:szCs w:val="24"/>
      <w:lang w:eastAsia="ja-JP"/>
    </w:rPr>
  </w:style>
  <w:style w:type="character" w:styleId="PageNumber">
    <w:name w:val="page number"/>
    <w:basedOn w:val="DefaultParagraphFont"/>
    <w:rsid w:val="006A6CE9"/>
  </w:style>
  <w:style w:type="paragraph" w:styleId="ListParagraph">
    <w:name w:val="List Paragraph"/>
    <w:basedOn w:val="Normal"/>
    <w:uiPriority w:val="72"/>
    <w:rsid w:val="009A59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ja-JP"/>
    </w:rPr>
  </w:style>
  <w:style w:type="paragraph" w:styleId="Heading3">
    <w:name w:val="heading 3"/>
    <w:basedOn w:val="Normal"/>
    <w:qFormat/>
    <w:rsid w:val="00CC09A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A11F8"/>
    <w:rPr>
      <w:color w:val="0000FF"/>
      <w:u w:val="single"/>
    </w:rPr>
  </w:style>
  <w:style w:type="paragraph" w:styleId="DocumentMap">
    <w:name w:val="Document Map"/>
    <w:basedOn w:val="Normal"/>
    <w:semiHidden/>
    <w:rsid w:val="003B7607"/>
    <w:pPr>
      <w:shd w:val="clear" w:color="auto" w:fill="000080"/>
    </w:pPr>
    <w:rPr>
      <w:rFonts w:ascii="Tahoma" w:hAnsi="Tahoma" w:cs="Tahoma"/>
      <w:sz w:val="20"/>
      <w:szCs w:val="20"/>
    </w:rPr>
  </w:style>
  <w:style w:type="character" w:styleId="Emphasis">
    <w:name w:val="Emphasis"/>
    <w:qFormat/>
    <w:rsid w:val="00CC09AC"/>
    <w:rPr>
      <w:i/>
      <w:iCs/>
    </w:rPr>
  </w:style>
  <w:style w:type="character" w:styleId="Strong">
    <w:name w:val="Strong"/>
    <w:qFormat/>
    <w:rsid w:val="00CC09AC"/>
    <w:rPr>
      <w:b/>
      <w:bCs/>
    </w:rPr>
  </w:style>
  <w:style w:type="character" w:styleId="FollowedHyperlink">
    <w:name w:val="FollowedHyperlink"/>
    <w:rsid w:val="00740C68"/>
    <w:rPr>
      <w:color w:val="800080"/>
      <w:u w:val="single"/>
    </w:rPr>
  </w:style>
  <w:style w:type="paragraph" w:styleId="Footer">
    <w:name w:val="footer"/>
    <w:basedOn w:val="Normal"/>
    <w:link w:val="FooterChar"/>
    <w:rsid w:val="006A6CE9"/>
    <w:pPr>
      <w:tabs>
        <w:tab w:val="center" w:pos="4320"/>
        <w:tab w:val="right" w:pos="8640"/>
      </w:tabs>
    </w:pPr>
  </w:style>
  <w:style w:type="character" w:customStyle="1" w:styleId="FooterChar">
    <w:name w:val="Footer Char"/>
    <w:basedOn w:val="DefaultParagraphFont"/>
    <w:link w:val="Footer"/>
    <w:rsid w:val="006A6CE9"/>
    <w:rPr>
      <w:sz w:val="24"/>
      <w:szCs w:val="24"/>
      <w:lang w:eastAsia="ja-JP"/>
    </w:rPr>
  </w:style>
  <w:style w:type="character" w:styleId="PageNumber">
    <w:name w:val="page number"/>
    <w:basedOn w:val="DefaultParagraphFont"/>
    <w:rsid w:val="006A6CE9"/>
  </w:style>
  <w:style w:type="paragraph" w:styleId="ListParagraph">
    <w:name w:val="List Paragraph"/>
    <w:basedOn w:val="Normal"/>
    <w:uiPriority w:val="72"/>
    <w:rsid w:val="009A5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5984378">
      <w:bodyDiv w:val="1"/>
      <w:marLeft w:val="0"/>
      <w:marRight w:val="0"/>
      <w:marTop w:val="0"/>
      <w:marBottom w:val="0"/>
      <w:divBdr>
        <w:top w:val="none" w:sz="0" w:space="0" w:color="auto"/>
        <w:left w:val="none" w:sz="0" w:space="0" w:color="auto"/>
        <w:bottom w:val="none" w:sz="0" w:space="0" w:color="auto"/>
        <w:right w:val="none" w:sz="0" w:space="0" w:color="auto"/>
      </w:divBdr>
      <w:divsChild>
        <w:div w:id="1155025897">
          <w:marLeft w:val="187"/>
          <w:marRight w:val="187"/>
          <w:marTop w:val="0"/>
          <w:marBottom w:val="0"/>
          <w:divBdr>
            <w:top w:val="none" w:sz="0" w:space="0" w:color="auto"/>
            <w:left w:val="none" w:sz="0" w:space="0" w:color="auto"/>
            <w:bottom w:val="none" w:sz="0" w:space="0" w:color="auto"/>
            <w:right w:val="none" w:sz="0" w:space="0" w:color="auto"/>
          </w:divBdr>
        </w:div>
      </w:divsChild>
    </w:div>
    <w:div w:id="1511870033">
      <w:bodyDiv w:val="1"/>
      <w:marLeft w:val="0"/>
      <w:marRight w:val="0"/>
      <w:marTop w:val="0"/>
      <w:marBottom w:val="0"/>
      <w:divBdr>
        <w:top w:val="none" w:sz="0" w:space="0" w:color="auto"/>
        <w:left w:val="none" w:sz="0" w:space="0" w:color="auto"/>
        <w:bottom w:val="none" w:sz="0" w:space="0" w:color="auto"/>
        <w:right w:val="none" w:sz="0" w:space="0" w:color="auto"/>
      </w:divBdr>
      <w:divsChild>
        <w:div w:id="1006595184">
          <w:marLeft w:val="0"/>
          <w:marRight w:val="0"/>
          <w:marTop w:val="0"/>
          <w:marBottom w:val="0"/>
          <w:divBdr>
            <w:top w:val="none" w:sz="0" w:space="0" w:color="auto"/>
            <w:left w:val="none" w:sz="0" w:space="0" w:color="auto"/>
            <w:bottom w:val="none" w:sz="0" w:space="0" w:color="auto"/>
            <w:right w:val="none" w:sz="0" w:space="0" w:color="auto"/>
          </w:divBdr>
        </w:div>
        <w:div w:id="995644868">
          <w:marLeft w:val="0"/>
          <w:marRight w:val="0"/>
          <w:marTop w:val="0"/>
          <w:marBottom w:val="0"/>
          <w:divBdr>
            <w:top w:val="none" w:sz="0" w:space="0" w:color="auto"/>
            <w:left w:val="none" w:sz="0" w:space="0" w:color="auto"/>
            <w:bottom w:val="none" w:sz="0" w:space="0" w:color="auto"/>
            <w:right w:val="none" w:sz="0" w:space="0" w:color="auto"/>
          </w:divBdr>
        </w:div>
        <w:div w:id="1454517986">
          <w:marLeft w:val="0"/>
          <w:marRight w:val="0"/>
          <w:marTop w:val="0"/>
          <w:marBottom w:val="0"/>
          <w:divBdr>
            <w:top w:val="none" w:sz="0" w:space="0" w:color="auto"/>
            <w:left w:val="none" w:sz="0" w:space="0" w:color="auto"/>
            <w:bottom w:val="none" w:sz="0" w:space="0" w:color="auto"/>
            <w:right w:val="none" w:sz="0" w:space="0" w:color="auto"/>
          </w:divBdr>
        </w:div>
        <w:div w:id="547957561">
          <w:marLeft w:val="0"/>
          <w:marRight w:val="0"/>
          <w:marTop w:val="0"/>
          <w:marBottom w:val="0"/>
          <w:divBdr>
            <w:top w:val="none" w:sz="0" w:space="0" w:color="auto"/>
            <w:left w:val="none" w:sz="0" w:space="0" w:color="auto"/>
            <w:bottom w:val="none" w:sz="0" w:space="0" w:color="auto"/>
            <w:right w:val="none" w:sz="0" w:space="0" w:color="auto"/>
          </w:divBdr>
        </w:div>
        <w:div w:id="1240872410">
          <w:marLeft w:val="0"/>
          <w:marRight w:val="0"/>
          <w:marTop w:val="0"/>
          <w:marBottom w:val="0"/>
          <w:divBdr>
            <w:top w:val="none" w:sz="0" w:space="0" w:color="auto"/>
            <w:left w:val="none" w:sz="0" w:space="0" w:color="auto"/>
            <w:bottom w:val="none" w:sz="0" w:space="0" w:color="auto"/>
            <w:right w:val="none" w:sz="0" w:space="0" w:color="auto"/>
          </w:divBdr>
        </w:div>
        <w:div w:id="233004218">
          <w:marLeft w:val="0"/>
          <w:marRight w:val="0"/>
          <w:marTop w:val="0"/>
          <w:marBottom w:val="0"/>
          <w:divBdr>
            <w:top w:val="none" w:sz="0" w:space="0" w:color="auto"/>
            <w:left w:val="none" w:sz="0" w:space="0" w:color="auto"/>
            <w:bottom w:val="none" w:sz="0" w:space="0" w:color="auto"/>
            <w:right w:val="none" w:sz="0" w:space="0" w:color="auto"/>
          </w:divBdr>
        </w:div>
        <w:div w:id="1790054147">
          <w:marLeft w:val="0"/>
          <w:marRight w:val="0"/>
          <w:marTop w:val="0"/>
          <w:marBottom w:val="0"/>
          <w:divBdr>
            <w:top w:val="none" w:sz="0" w:space="0" w:color="auto"/>
            <w:left w:val="none" w:sz="0" w:space="0" w:color="auto"/>
            <w:bottom w:val="none" w:sz="0" w:space="0" w:color="auto"/>
            <w:right w:val="none" w:sz="0" w:space="0" w:color="auto"/>
          </w:divBdr>
        </w:div>
        <w:div w:id="2106726786">
          <w:marLeft w:val="0"/>
          <w:marRight w:val="0"/>
          <w:marTop w:val="0"/>
          <w:marBottom w:val="0"/>
          <w:divBdr>
            <w:top w:val="none" w:sz="0" w:space="0" w:color="auto"/>
            <w:left w:val="none" w:sz="0" w:space="0" w:color="auto"/>
            <w:bottom w:val="none" w:sz="0" w:space="0" w:color="auto"/>
            <w:right w:val="none" w:sz="0" w:space="0" w:color="auto"/>
          </w:divBdr>
        </w:div>
        <w:div w:id="847865334">
          <w:marLeft w:val="0"/>
          <w:marRight w:val="0"/>
          <w:marTop w:val="0"/>
          <w:marBottom w:val="0"/>
          <w:divBdr>
            <w:top w:val="none" w:sz="0" w:space="0" w:color="auto"/>
            <w:left w:val="none" w:sz="0" w:space="0" w:color="auto"/>
            <w:bottom w:val="none" w:sz="0" w:space="0" w:color="auto"/>
            <w:right w:val="none" w:sz="0" w:space="0" w:color="auto"/>
          </w:divBdr>
        </w:div>
        <w:div w:id="1069689961">
          <w:marLeft w:val="0"/>
          <w:marRight w:val="0"/>
          <w:marTop w:val="0"/>
          <w:marBottom w:val="0"/>
          <w:divBdr>
            <w:top w:val="none" w:sz="0" w:space="0" w:color="auto"/>
            <w:left w:val="none" w:sz="0" w:space="0" w:color="auto"/>
            <w:bottom w:val="none" w:sz="0" w:space="0" w:color="auto"/>
            <w:right w:val="none" w:sz="0" w:space="0" w:color="auto"/>
          </w:divBdr>
        </w:div>
        <w:div w:id="1486555736">
          <w:marLeft w:val="0"/>
          <w:marRight w:val="0"/>
          <w:marTop w:val="0"/>
          <w:marBottom w:val="0"/>
          <w:divBdr>
            <w:top w:val="none" w:sz="0" w:space="0" w:color="auto"/>
            <w:left w:val="none" w:sz="0" w:space="0" w:color="auto"/>
            <w:bottom w:val="none" w:sz="0" w:space="0" w:color="auto"/>
            <w:right w:val="none" w:sz="0" w:space="0" w:color="auto"/>
          </w:divBdr>
        </w:div>
        <w:div w:id="1742487648">
          <w:marLeft w:val="0"/>
          <w:marRight w:val="0"/>
          <w:marTop w:val="0"/>
          <w:marBottom w:val="0"/>
          <w:divBdr>
            <w:top w:val="none" w:sz="0" w:space="0" w:color="auto"/>
            <w:left w:val="none" w:sz="0" w:space="0" w:color="auto"/>
            <w:bottom w:val="none" w:sz="0" w:space="0" w:color="auto"/>
            <w:right w:val="none" w:sz="0" w:space="0" w:color="auto"/>
          </w:divBdr>
        </w:div>
        <w:div w:id="984286313">
          <w:marLeft w:val="0"/>
          <w:marRight w:val="0"/>
          <w:marTop w:val="0"/>
          <w:marBottom w:val="0"/>
          <w:divBdr>
            <w:top w:val="none" w:sz="0" w:space="0" w:color="auto"/>
            <w:left w:val="none" w:sz="0" w:space="0" w:color="auto"/>
            <w:bottom w:val="none" w:sz="0" w:space="0" w:color="auto"/>
            <w:right w:val="none" w:sz="0" w:space="0" w:color="auto"/>
          </w:divBdr>
        </w:div>
        <w:div w:id="1009135731">
          <w:marLeft w:val="0"/>
          <w:marRight w:val="0"/>
          <w:marTop w:val="0"/>
          <w:marBottom w:val="0"/>
          <w:divBdr>
            <w:top w:val="none" w:sz="0" w:space="0" w:color="auto"/>
            <w:left w:val="none" w:sz="0" w:space="0" w:color="auto"/>
            <w:bottom w:val="none" w:sz="0" w:space="0" w:color="auto"/>
            <w:right w:val="none" w:sz="0" w:space="0" w:color="auto"/>
          </w:divBdr>
        </w:div>
        <w:div w:id="1082263201">
          <w:marLeft w:val="0"/>
          <w:marRight w:val="0"/>
          <w:marTop w:val="0"/>
          <w:marBottom w:val="0"/>
          <w:divBdr>
            <w:top w:val="none" w:sz="0" w:space="0" w:color="auto"/>
            <w:left w:val="none" w:sz="0" w:space="0" w:color="auto"/>
            <w:bottom w:val="none" w:sz="0" w:space="0" w:color="auto"/>
            <w:right w:val="none" w:sz="0" w:space="0" w:color="auto"/>
          </w:divBdr>
        </w:div>
      </w:divsChild>
    </w:div>
    <w:div w:id="1990744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y.uq.edu.au/rhd-information-and-services/manage-my-candidature/changing-your-candid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639</Words>
  <Characters>3765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Process for applying to upgrade from MPhil to PhD candidature:</vt:lpstr>
    </vt:vector>
  </TitlesOfParts>
  <Company>University of Queensland</Company>
  <LinksUpToDate>false</LinksUpToDate>
  <CharactersWithSpaces>4396</CharactersWithSpaces>
  <SharedDoc>false</SharedDoc>
  <HLinks>
    <vt:vector size="30" baseType="variant">
      <vt:variant>
        <vt:i4>7733370</vt:i4>
      </vt:variant>
      <vt:variant>
        <vt:i4>12</vt:i4>
      </vt:variant>
      <vt:variant>
        <vt:i4>0</vt:i4>
      </vt:variant>
      <vt:variant>
        <vt:i4>5</vt:i4>
      </vt:variant>
      <vt:variant>
        <vt:lpwstr>http://www.uq.edu.au/grad-school/candidature-forms</vt:lpwstr>
      </vt:variant>
      <vt:variant>
        <vt:lpwstr/>
      </vt:variant>
      <vt:variant>
        <vt:i4>7733370</vt:i4>
      </vt:variant>
      <vt:variant>
        <vt:i4>9</vt:i4>
      </vt:variant>
      <vt:variant>
        <vt:i4>0</vt:i4>
      </vt:variant>
      <vt:variant>
        <vt:i4>5</vt:i4>
      </vt:variant>
      <vt:variant>
        <vt:lpwstr>http://www.uq.edu.au/grad-school/candidature-forms</vt:lpwstr>
      </vt:variant>
      <vt:variant>
        <vt:lpwstr/>
      </vt:variant>
      <vt:variant>
        <vt:i4>2752636</vt:i4>
      </vt:variant>
      <vt:variant>
        <vt:i4>6</vt:i4>
      </vt:variant>
      <vt:variant>
        <vt:i4>0</vt:i4>
      </vt:variant>
      <vt:variant>
        <vt:i4>5</vt:i4>
      </vt:variant>
      <vt:variant>
        <vt:lpwstr>http://www.uq.edu.au/grad-school/changing-your-candidature</vt:lpwstr>
      </vt:variant>
      <vt:variant>
        <vt:lpwstr/>
      </vt:variant>
      <vt:variant>
        <vt:i4>7733370</vt:i4>
      </vt:variant>
      <vt:variant>
        <vt:i4>3</vt:i4>
      </vt:variant>
      <vt:variant>
        <vt:i4>0</vt:i4>
      </vt:variant>
      <vt:variant>
        <vt:i4>5</vt:i4>
      </vt:variant>
      <vt:variant>
        <vt:lpwstr>http://www.uq.edu.au/grad-school/candidature-forms</vt:lpwstr>
      </vt:variant>
      <vt:variant>
        <vt:lpwstr/>
      </vt:variant>
      <vt:variant>
        <vt:i4>327737</vt:i4>
      </vt:variant>
      <vt:variant>
        <vt:i4>0</vt:i4>
      </vt:variant>
      <vt:variant>
        <vt:i4>0</vt:i4>
      </vt:variant>
      <vt:variant>
        <vt:i4>5</vt:i4>
      </vt:variant>
      <vt:variant>
        <vt:lpwstr>mailto:a.tuohy@uq.edu.au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 for applying to upgrade from MPhil to PhD candidature:</dc:title>
  <dc:creator>UQ</dc:creator>
  <cp:lastModifiedBy>Angela Tuohy</cp:lastModifiedBy>
  <cp:revision>4</cp:revision>
  <cp:lastPrinted>2008-06-18T00:56:00Z</cp:lastPrinted>
  <dcterms:created xsi:type="dcterms:W3CDTF">2017-08-10T04:47:00Z</dcterms:created>
  <dcterms:modified xsi:type="dcterms:W3CDTF">2017-08-10T05:46:00Z</dcterms:modified>
</cp:coreProperties>
</file>